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BC" w:rsidRPr="004F4050" w:rsidRDefault="00AE2DBC" w:rsidP="003C118D">
      <w:pPr>
        <w:wordWrap/>
        <w:spacing w:line="288" w:lineRule="auto"/>
        <w:jc w:val="center"/>
        <w:rPr>
          <w:rFonts w:ascii="Times New Roman" w:eastAsia="한양신명조" w:hAnsi="Times New Roman"/>
          <w:sz w:val="18"/>
          <w:szCs w:val="18"/>
        </w:rPr>
      </w:pPr>
      <w:r w:rsidRPr="004F4050">
        <w:rPr>
          <w:rFonts w:ascii="Times New Roman" w:eastAsia="한양중고딕" w:hAnsi="Times New Roman"/>
          <w:kern w:val="0"/>
          <w:sz w:val="18"/>
          <w:szCs w:val="21"/>
        </w:rPr>
        <w:t>T</w:t>
      </w:r>
      <w:r w:rsidRPr="004F4050">
        <w:rPr>
          <w:rFonts w:ascii="Times New Roman" w:eastAsia="한양중고딕" w:hAnsi="Times New Roman" w:hint="eastAsia"/>
          <w:kern w:val="0"/>
          <w:sz w:val="18"/>
          <w:szCs w:val="21"/>
        </w:rPr>
        <w:t>able</w:t>
      </w:r>
      <w:r w:rsidRPr="004F4050">
        <w:rPr>
          <w:rFonts w:ascii="Times New Roman" w:eastAsia="한양중고딕" w:hAnsi="Times New Roman"/>
          <w:sz w:val="18"/>
          <w:szCs w:val="21"/>
        </w:rPr>
        <w:t xml:space="preserve"> 1. </w:t>
      </w:r>
      <w:r w:rsidRPr="004F4050">
        <w:rPr>
          <w:rFonts w:ascii="Times New Roman" w:eastAsia="한양신명조" w:hAnsi="Times New Roman"/>
          <w:sz w:val="18"/>
          <w:szCs w:val="18"/>
        </w:rPr>
        <w:t>C</w:t>
      </w:r>
      <w:r w:rsidRPr="004F4050">
        <w:rPr>
          <w:rFonts w:ascii="Times New Roman" w:eastAsia="한양신명조" w:hAnsi="Times New Roman" w:hint="eastAsia"/>
          <w:sz w:val="18"/>
          <w:szCs w:val="18"/>
        </w:rPr>
        <w:t>hronology of Malaysia</w:t>
      </w:r>
    </w:p>
    <w:tbl>
      <w:tblPr>
        <w:tblW w:w="4884" w:type="pct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7321"/>
      </w:tblGrid>
      <w:tr w:rsidR="00AE2DBC" w:rsidRPr="004F4050" w:rsidTr="00C25D5D">
        <w:tc>
          <w:tcPr>
            <w:tcW w:w="965" w:type="pct"/>
            <w:tcBorders>
              <w:top w:val="single" w:sz="8" w:space="0" w:color="000000"/>
            </w:tcBorders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1786</w:t>
            </w:r>
          </w:p>
        </w:tc>
        <w:tc>
          <w:tcPr>
            <w:tcW w:w="4035" w:type="pct"/>
            <w:tcBorders>
              <w:top w:val="single" w:sz="8" w:space="0" w:color="000000"/>
            </w:tcBorders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 British settlement is established on Penang by Francis Light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1791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East India Company(EIC) and Sultan Abdullah of Kedah sign an agreement on the cession of Penang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1818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Melaka is returned to the Dutch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1819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Raffles established a free port on Singapore island</w:t>
            </w:r>
          </w:p>
        </w:tc>
      </w:tr>
      <w:tr w:rsidR="00AE2DBC" w:rsidRPr="004F4050" w:rsidTr="00C25D5D">
        <w:trPr>
          <w:trHeight w:val="70"/>
        </w:trPr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1824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Raffles established a free port on Singapore island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1825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Formation of the Straits Settlements(Penang, Singapore and Meleka)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1840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importance of tin increases, bringing an influx of Chinese tin miners to the western coast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1858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Strait Settlement are passed from the control of EIC to the British government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1880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Kuala Lumpur becomes the state capital of Selengor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1880s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Large-scale expansion of the mining in Perak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1885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first railway line, between Taiping and Port Wels, is opened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1890s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first rubber estated are planned in Malay Peninsula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1891~5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Rising by Malay chiefs in Pehang against British rule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1895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Johor's constitution, the first for a Malay estate, is adopted by the State Council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1896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Selangar, Perak, Negri Sembilan and Pahang are united as the Federated Malay States(FMS) with a Resident General in Kuala Lumpur, the capital and a High Commissioner in Singapore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1909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Federated Council is established as a legislative body for the Federated Malay States</w:t>
            </w:r>
          </w:p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rail link from Pahang to Johor Bahru is completed, with ferry service to Singapore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1914~18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World War I.</w:t>
            </w:r>
          </w:p>
        </w:tc>
      </w:tr>
      <w:tr w:rsidR="00AE2DBC" w:rsidRPr="004F4050" w:rsidTr="00C25D5D">
        <w:trPr>
          <w:trHeight w:val="274"/>
        </w:trPr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1923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Labor Code makes it compulsory for estates to provide schools for the children of their workers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1941~45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Japanese invasion of the Malay Peninsula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1945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British reoccupy Malaya</w:t>
            </w:r>
          </w:p>
        </w:tc>
      </w:tr>
      <w:tr w:rsidR="00AE2DBC" w:rsidRPr="004F4050" w:rsidTr="00C25D5D">
        <w:tc>
          <w:tcPr>
            <w:tcW w:w="965" w:type="pct"/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1957</w:t>
            </w:r>
          </w:p>
        </w:tc>
        <w:tc>
          <w:tcPr>
            <w:tcW w:w="4035" w:type="pct"/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Federation of Malaya is granted independence from the British government</w:t>
            </w:r>
          </w:p>
        </w:tc>
      </w:tr>
      <w:tr w:rsidR="00AE2DBC" w:rsidRPr="004F4050" w:rsidTr="00C25D5D">
        <w:tc>
          <w:tcPr>
            <w:tcW w:w="965" w:type="pct"/>
            <w:tcBorders>
              <w:bottom w:val="single" w:sz="8" w:space="0" w:color="000000"/>
            </w:tcBorders>
            <w:vAlign w:val="center"/>
          </w:tcPr>
          <w:p w:rsidR="00AE2DBC" w:rsidRPr="004F4050" w:rsidRDefault="00AE2DBC" w:rsidP="003C118D">
            <w:pPr>
              <w:wordWrap/>
              <w:spacing w:line="288" w:lineRule="auto"/>
              <w:jc w:val="center"/>
              <w:rPr>
                <w:rFonts w:ascii="Times New Roman" w:eastAsia="한양신명조" w:hAnsi="Times New Roman"/>
                <w:sz w:val="18"/>
                <w:szCs w:val="18"/>
              </w:rPr>
            </w:pPr>
            <w:r w:rsidRPr="004F4050">
              <w:rPr>
                <w:rFonts w:ascii="Times New Roman" w:eastAsia="한양신명조" w:hAnsi="Times New Roman"/>
                <w:sz w:val="18"/>
                <w:szCs w:val="18"/>
              </w:rPr>
              <w:t>1965</w:t>
            </w:r>
          </w:p>
        </w:tc>
        <w:tc>
          <w:tcPr>
            <w:tcW w:w="4035" w:type="pct"/>
            <w:tcBorders>
              <w:bottom w:val="single" w:sz="8" w:space="0" w:color="000000"/>
            </w:tcBorders>
            <w:vAlign w:val="center"/>
          </w:tcPr>
          <w:p w:rsidR="00AE2DBC" w:rsidRPr="004F4050" w:rsidRDefault="00AE2DBC" w:rsidP="003C118D">
            <w:pPr>
              <w:pStyle w:val="a"/>
              <w:spacing w:line="288" w:lineRule="auto"/>
              <w:rPr>
                <w:rFonts w:ascii="Times New Roman" w:eastAsia="한양신명조" w:hAnsi="Times New Roman" w:cs="Times New Roman"/>
                <w:color w:val="auto"/>
                <w:sz w:val="18"/>
                <w:szCs w:val="18"/>
              </w:rPr>
            </w:pPr>
            <w:r w:rsidRPr="004F40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Singapore leaves Malaysia and becomes an independent nation</w:t>
            </w:r>
          </w:p>
        </w:tc>
      </w:tr>
    </w:tbl>
    <w:p w:rsidR="00AE2DBC" w:rsidRPr="004F4050" w:rsidRDefault="00AE2DBC" w:rsidP="00C25D5D">
      <w:pPr>
        <w:wordWrap/>
        <w:spacing w:line="288" w:lineRule="auto"/>
        <w:rPr>
          <w:rFonts w:ascii="Times New Roman" w:eastAsia="한양신명조" w:hAnsi="Times New Roman"/>
          <w:sz w:val="22"/>
        </w:rPr>
      </w:pPr>
    </w:p>
    <w:p w:rsidR="00AE2DBC" w:rsidRPr="003C2C69" w:rsidRDefault="00AE2DBC" w:rsidP="003C2C69">
      <w:pPr>
        <w:pStyle w:val="BodyText2"/>
        <w:wordWrap/>
        <w:spacing w:line="288" w:lineRule="auto"/>
        <w:rPr>
          <w:rFonts w:ascii="Times New Roman" w:hAnsi="Times New Roman"/>
          <w:sz w:val="22"/>
        </w:rPr>
      </w:pPr>
      <w:r w:rsidRPr="003C2C69">
        <w:rPr>
          <w:rFonts w:ascii="Times New Roman" w:hAnsi="Times New Roman"/>
          <w:sz w:val="22"/>
        </w:rPr>
        <w:t xml:space="preserve"> </w:t>
      </w: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271A63" w:rsidRDefault="00271A63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</w:p>
    <w:p w:rsidR="00AE2DBC" w:rsidRPr="003C2C69" w:rsidRDefault="00AE2DBC" w:rsidP="003C2C69">
      <w:pPr>
        <w:widowControl/>
        <w:wordWrap/>
        <w:autoSpaceDE/>
        <w:autoSpaceDN/>
        <w:snapToGrid w:val="0"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  <w:r w:rsidRPr="003C2C69">
        <w:rPr>
          <w:rFonts w:ascii="Times New Roman" w:eastAsia="한양중고딕" w:hAnsi="Times New Roman"/>
          <w:color w:val="000000"/>
          <w:kern w:val="0"/>
          <w:sz w:val="18"/>
          <w:szCs w:val="21"/>
        </w:rPr>
        <w:lastRenderedPageBreak/>
        <w:t>Table 2. Middle and Low Density Hosing Typology</w:t>
      </w:r>
    </w:p>
    <w:p w:rsidR="00AE2DBC" w:rsidRPr="003C2C69" w:rsidRDefault="00AE2DBC" w:rsidP="003C2C69">
      <w:pPr>
        <w:pStyle w:val="BodyText2"/>
        <w:wordWrap/>
        <w:spacing w:line="288" w:lineRule="auto"/>
        <w:jc w:val="center"/>
        <w:rPr>
          <w:rFonts w:ascii="Times New Roman" w:eastAsia="한양중고딕" w:hAnsi="Times New Roman"/>
          <w:color w:val="000000"/>
          <w:kern w:val="0"/>
          <w:sz w:val="18"/>
          <w:szCs w:val="21"/>
        </w:rPr>
      </w:pPr>
      <w:r w:rsidRPr="003C2C69">
        <w:rPr>
          <w:rFonts w:ascii="Times New Roman" w:eastAsia="한양중고딕" w:hAnsi="Times New Roman"/>
          <w:color w:val="000000"/>
          <w:kern w:val="0"/>
          <w:sz w:val="18"/>
          <w:szCs w:val="21"/>
        </w:rPr>
        <w:t>(Setia Alam and Setia Eco-Park Town, 2008)</w:t>
      </w:r>
    </w:p>
    <w:tbl>
      <w:tblPr>
        <w:tblW w:w="4954" w:type="dxa"/>
        <w:jc w:val="center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6"/>
        <w:gridCol w:w="1444"/>
        <w:gridCol w:w="1443"/>
        <w:gridCol w:w="1241"/>
      </w:tblGrid>
      <w:tr w:rsidR="00AE2DBC" w:rsidRPr="003C2C69" w:rsidTr="0023549D">
        <w:trPr>
          <w:trHeight w:val="427"/>
          <w:jc w:val="center"/>
        </w:trPr>
        <w:tc>
          <w:tcPr>
            <w:tcW w:w="826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  <w:t>typology</w:t>
            </w:r>
          </w:p>
        </w:tc>
        <w:tc>
          <w:tcPr>
            <w:tcW w:w="1444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Detached House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(Bungalow)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Terrace House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(Link House)</w:t>
            </w:r>
          </w:p>
        </w:tc>
        <w:tc>
          <w:tcPr>
            <w:tcW w:w="1241" w:type="dxa"/>
            <w:tcBorders>
              <w:top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Semi-Detached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6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6"/>
                <w:szCs w:val="21"/>
              </w:rPr>
              <w:t>Housing</w:t>
            </w:r>
          </w:p>
        </w:tc>
      </w:tr>
      <w:tr w:rsidR="00AE2DBC" w:rsidRPr="003C2C69" w:rsidTr="0023549D">
        <w:trPr>
          <w:trHeight w:val="897"/>
          <w:jc w:val="center"/>
        </w:trPr>
        <w:tc>
          <w:tcPr>
            <w:tcW w:w="8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plot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plan</w:t>
            </w:r>
          </w:p>
        </w:tc>
        <w:tc>
          <w:tcPr>
            <w:tcW w:w="14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93" w:left="-186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533400"/>
                  <wp:effectExtent l="19050" t="0" r="0" b="0"/>
                  <wp:docPr id="57" name="그림 0" descr="noname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noname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35" w:left="-70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781050" cy="533400"/>
                  <wp:effectExtent l="19050" t="0" r="0" b="0"/>
                  <wp:docPr id="58" name="그림 6" descr="noname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6" descr="noname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48" w:left="-96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733425" cy="533400"/>
                  <wp:effectExtent l="19050" t="0" r="9525" b="0"/>
                  <wp:docPr id="59" name="그림 7" descr="noname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 descr="noname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DBC" w:rsidRPr="003C2C69" w:rsidTr="0023549D">
        <w:trPr>
          <w:trHeight w:val="1595"/>
          <w:jc w:val="center"/>
        </w:trPr>
        <w:tc>
          <w:tcPr>
            <w:tcW w:w="8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ground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plan</w:t>
            </w:r>
          </w:p>
        </w:tc>
        <w:tc>
          <w:tcPr>
            <w:tcW w:w="14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22" w:left="-44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952500"/>
                  <wp:effectExtent l="19050" t="0" r="0" b="0"/>
                  <wp:docPr id="60" name="_x30203208" descr="EMB00000ea030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203208" descr="EMB00000ea030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35" w:left="-70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952500"/>
                  <wp:effectExtent l="19050" t="0" r="0" b="0"/>
                  <wp:docPr id="61" name="_x30208272" descr="EMB00000ea03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208272" descr="EMB00000ea03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93" w:left="-186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676275" cy="790575"/>
                  <wp:effectExtent l="19050" t="0" r="9525" b="0"/>
                  <wp:docPr id="62" name="_x30413288" descr="EMB00000ea030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413288" descr="EMB00000ea030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DBC" w:rsidRPr="003C2C69" w:rsidTr="0023549D">
        <w:trPr>
          <w:trHeight w:val="3910"/>
          <w:jc w:val="center"/>
        </w:trPr>
        <w:tc>
          <w:tcPr>
            <w:tcW w:w="826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general</w:t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한양신명조" w:hAnsi="Times New Roman"/>
                <w:color w:val="000000"/>
                <w:kern w:val="0"/>
                <w:sz w:val="18"/>
                <w:szCs w:val="21"/>
              </w:rPr>
              <w:t>views</w:t>
            </w:r>
          </w:p>
        </w:tc>
        <w:tc>
          <w:tcPr>
            <w:tcW w:w="1444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22" w:left="-44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63" name="_x30966896" descr="EMB00000ea03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966896" descr="EMB00000ea03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22" w:left="-44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28" name="_x30963448" descr="EMB00000ea03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963448" descr="EMB00000ea03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22" w:left="-44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29" name="_x83066112" descr="EMB00000ea03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3066112" descr="EMB00000ea03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35" w:left="-70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30" name="_x31100712" descr="EMB00000ea03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100712" descr="EMB00000ea03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35" w:left="-70" w:rightChars="4" w:right="8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31" name="_x31095752" descr="EMB00000ea0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95752" descr="EMB00000ea0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32" name="_x30428728" descr="EMB00000ea0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0428728" descr="EMB00000ea03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4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bottom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93" w:left="-186" w:rightChars="71" w:right="142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71525"/>
                  <wp:effectExtent l="19050" t="0" r="0" b="0"/>
                  <wp:docPr id="133" name="_x31020632" descr="EMB00000ea03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20632" descr="EMB00000ea03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DBC" w:rsidRPr="003C2C69" w:rsidRDefault="00AE2DBC" w:rsidP="003C2C69">
            <w:pPr>
              <w:widowControl/>
              <w:wordWrap/>
              <w:autoSpaceDE/>
              <w:autoSpaceDN/>
              <w:snapToGrid w:val="0"/>
              <w:spacing w:line="288" w:lineRule="auto"/>
              <w:ind w:leftChars="-93" w:left="-186" w:rightChars="71" w:right="142"/>
              <w:jc w:val="right"/>
              <w:rPr>
                <w:rFonts w:ascii="Times New Roman" w:eastAsia="바탕" w:hAnsi="Times New Roman"/>
                <w:color w:val="000000"/>
                <w:kern w:val="0"/>
                <w:sz w:val="18"/>
                <w:szCs w:val="21"/>
              </w:rPr>
            </w:pP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34" name="_x31008552" descr="EMB00000ea03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08552" descr="EMB00000ea03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C69">
              <w:rPr>
                <w:rFonts w:ascii="Times New Roman" w:eastAsia="바탕" w:hAnsi="Times New Roman"/>
                <w:noProof/>
                <w:color w:val="000000"/>
                <w:kern w:val="0"/>
                <w:sz w:val="18"/>
                <w:szCs w:val="21"/>
              </w:rPr>
              <w:drawing>
                <wp:inline distT="0" distB="0" distL="0" distR="0">
                  <wp:extent cx="819150" cy="762000"/>
                  <wp:effectExtent l="19050" t="0" r="0" b="0"/>
                  <wp:docPr id="135" name="_x31066808" descr="EMB00000ea03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66808" descr="EMB00000ea03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DBC" w:rsidRPr="003C2C69" w:rsidRDefault="00AE2DBC" w:rsidP="003C2C69">
      <w:pPr>
        <w:widowControl/>
        <w:wordWrap/>
        <w:autoSpaceDE/>
        <w:autoSpaceDN/>
        <w:snapToGrid w:val="0"/>
        <w:spacing w:line="288" w:lineRule="auto"/>
        <w:rPr>
          <w:rFonts w:ascii="Times New Roman" w:eastAsia="바탕" w:hAnsi="Times New Roman"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AE2DBC" w:rsidRPr="003C2C69" w:rsidSect="002770FF">
      <w:headerReference w:type="default" r:id="rId24"/>
      <w:footerReference w:type="default" r:id="rId25"/>
      <w:pgSz w:w="11906" w:h="16838"/>
      <w:pgMar w:top="1134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AF" w:rsidRDefault="00D643AF">
      <w:r>
        <w:separator/>
      </w:r>
    </w:p>
  </w:endnote>
  <w:endnote w:type="continuationSeparator" w:id="0">
    <w:p w:rsidR="00D643AF" w:rsidRDefault="00D6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0266"/>
      <w:docPartObj>
        <w:docPartGallery w:val="Page Numbers (Bottom of Page)"/>
        <w:docPartUnique/>
      </w:docPartObj>
    </w:sdtPr>
    <w:sdtEndPr/>
    <w:sdtContent>
      <w:p w:rsidR="00797FBB" w:rsidRDefault="00C10154" w:rsidP="00797FBB">
        <w:pPr>
          <w:pStyle w:val="Footer"/>
          <w:jc w:val="center"/>
        </w:pPr>
        <w:r>
          <w:fldChar w:fldCharType="begin"/>
        </w:r>
        <w:r w:rsidR="00B54E37">
          <w:instrText xml:space="preserve"> PAGE   \* MERGEFORMAT </w:instrText>
        </w:r>
        <w:r>
          <w:fldChar w:fldCharType="separate"/>
        </w:r>
        <w:r w:rsidR="003E1FB1" w:rsidRPr="003E1FB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AF" w:rsidRDefault="00D643AF">
      <w:r>
        <w:separator/>
      </w:r>
    </w:p>
  </w:footnote>
  <w:footnote w:type="continuationSeparator" w:id="0">
    <w:p w:rsidR="00D643AF" w:rsidRDefault="00D6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50" w:rsidRPr="00797FBB" w:rsidRDefault="004F4050">
    <w:pPr>
      <w:pStyle w:val="Header"/>
      <w:rPr>
        <w:rFonts w:ascii="Times New Roman" w:hAnsi="Times New Roman"/>
        <w:b/>
        <w:i/>
        <w:color w:val="7F7F7F" w:themeColor="text1" w:themeTint="80"/>
        <w:szCs w:val="20"/>
      </w:rPr>
    </w:pPr>
    <w:r w:rsidRPr="00797FBB">
      <w:rPr>
        <w:rFonts w:ascii="Times New Roman" w:hAnsi="Times New Roman"/>
        <w:b/>
        <w:i/>
        <w:color w:val="7F7F7F"/>
        <w:szCs w:val="20"/>
      </w:rPr>
      <w:t>1</w:t>
    </w:r>
    <w:r w:rsidRPr="00797FBB">
      <w:rPr>
        <w:rFonts w:ascii="Times New Roman" w:hAnsi="Times New Roman"/>
        <w:b/>
        <w:i/>
        <w:color w:val="7F7F7F"/>
        <w:szCs w:val="20"/>
        <w:vertAlign w:val="superscript"/>
      </w:rPr>
      <w:t>st</w:t>
    </w:r>
    <w:r w:rsidRPr="00797FBB">
      <w:rPr>
        <w:rFonts w:ascii="Times New Roman" w:hAnsi="Times New Roman"/>
        <w:b/>
        <w:i/>
        <w:color w:val="7F7F7F" w:themeColor="text1" w:themeTint="80"/>
        <w:szCs w:val="20"/>
      </w:rPr>
      <w:t xml:space="preserve"> South</w:t>
    </w:r>
    <w:r w:rsidRPr="00797FBB">
      <w:rPr>
        <w:rFonts w:ascii="Times New Roman" w:hAnsi="Times New Roman" w:hint="eastAsia"/>
        <w:b/>
        <w:i/>
        <w:color w:val="7F7F7F" w:themeColor="text1" w:themeTint="80"/>
        <w:szCs w:val="20"/>
      </w:rPr>
      <w:t xml:space="preserve"> </w:t>
    </w:r>
    <w:r w:rsidRPr="00797FBB">
      <w:rPr>
        <w:rFonts w:ascii="Times New Roman" w:hAnsi="Times New Roman"/>
        <w:b/>
        <w:i/>
        <w:color w:val="7F7F7F" w:themeColor="text1" w:themeTint="80"/>
        <w:szCs w:val="20"/>
      </w:rPr>
      <w:t>East Asia Housing Forum</w:t>
    </w:r>
    <w:r w:rsidRPr="00797FBB">
      <w:rPr>
        <w:rFonts w:ascii="Times New Roman" w:hAnsi="Times New Roman" w:hint="eastAsia"/>
        <w:b/>
        <w:i/>
        <w:color w:val="7F7F7F" w:themeColor="text1" w:themeTint="80"/>
        <w:szCs w:val="20"/>
      </w:rPr>
      <w:t xml:space="preserve"> of ARCH,</w:t>
    </w:r>
    <w:r w:rsidRPr="00797FBB">
      <w:rPr>
        <w:rFonts w:ascii="Times New Roman" w:hAnsi="Times New Roman"/>
        <w:b/>
        <w:i/>
        <w:color w:val="7F7F7F"/>
        <w:szCs w:val="20"/>
      </w:rPr>
      <w:t xml:space="preserve"> 6-7 October 2011, Seoul, Korea</w:t>
    </w:r>
  </w:p>
  <w:p w:rsidR="004F4050" w:rsidRPr="004F4050" w:rsidRDefault="004F4050">
    <w:pPr>
      <w:pStyle w:val="Header"/>
      <w:rPr>
        <w:rFonts w:ascii="Times New Roman" w:hAnsi="Times New Roman"/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AA2FB6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D124004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06F6820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C860BE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7E76D5D0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F6818FA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B2E2FC4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3421A94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0C2D9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6946302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162B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083F17B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2">
    <w:nsid w:val="1C49465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3">
    <w:nsid w:val="1F012F88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2C087D7A"/>
    <w:multiLevelType w:val="hybridMultilevel"/>
    <w:tmpl w:val="22FC722C"/>
    <w:lvl w:ilvl="0" w:tplc="1EC24B6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Times New Roman" w:hint="default"/>
        <w:b w:val="0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>
    <w:nsid w:val="3F4F0D25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A253B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>
    <w:nsid w:val="53C338B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8">
    <w:nsid w:val="6C9E32C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9">
    <w:nsid w:val="7A124534"/>
    <w:multiLevelType w:val="multilevel"/>
    <w:tmpl w:val="0409001F"/>
    <w:numStyleLink w:val="111111"/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 w:numId="16">
    <w:abstractNumId w:val="13"/>
  </w:num>
  <w:num w:numId="17">
    <w:abstractNumId w:val="16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F"/>
    <w:rsid w:val="0000319E"/>
    <w:rsid w:val="00021639"/>
    <w:rsid w:val="00054352"/>
    <w:rsid w:val="00080B9B"/>
    <w:rsid w:val="000813E3"/>
    <w:rsid w:val="00082543"/>
    <w:rsid w:val="00090F36"/>
    <w:rsid w:val="000A6FE1"/>
    <w:rsid w:val="000C3EE1"/>
    <w:rsid w:val="000E7939"/>
    <w:rsid w:val="001171C1"/>
    <w:rsid w:val="00123847"/>
    <w:rsid w:val="00130CB5"/>
    <w:rsid w:val="00144EE3"/>
    <w:rsid w:val="00154997"/>
    <w:rsid w:val="00166BFA"/>
    <w:rsid w:val="001817C5"/>
    <w:rsid w:val="001A4A8C"/>
    <w:rsid w:val="001B3738"/>
    <w:rsid w:val="00206657"/>
    <w:rsid w:val="00243155"/>
    <w:rsid w:val="00264D73"/>
    <w:rsid w:val="002653F1"/>
    <w:rsid w:val="00271A63"/>
    <w:rsid w:val="002733EB"/>
    <w:rsid w:val="002770FF"/>
    <w:rsid w:val="002E01AA"/>
    <w:rsid w:val="002E07B9"/>
    <w:rsid w:val="002F5A9C"/>
    <w:rsid w:val="0031753F"/>
    <w:rsid w:val="003479D7"/>
    <w:rsid w:val="00395857"/>
    <w:rsid w:val="003C118D"/>
    <w:rsid w:val="003C2C69"/>
    <w:rsid w:val="003C6826"/>
    <w:rsid w:val="003D6DF4"/>
    <w:rsid w:val="003E1FB1"/>
    <w:rsid w:val="003F6CE0"/>
    <w:rsid w:val="00401580"/>
    <w:rsid w:val="00433333"/>
    <w:rsid w:val="0048683C"/>
    <w:rsid w:val="004A5559"/>
    <w:rsid w:val="004E1557"/>
    <w:rsid w:val="004F4050"/>
    <w:rsid w:val="00513183"/>
    <w:rsid w:val="00526D77"/>
    <w:rsid w:val="00570D21"/>
    <w:rsid w:val="00571F90"/>
    <w:rsid w:val="005735D7"/>
    <w:rsid w:val="005906DF"/>
    <w:rsid w:val="005D7549"/>
    <w:rsid w:val="005F2ED2"/>
    <w:rsid w:val="00603223"/>
    <w:rsid w:val="006155D7"/>
    <w:rsid w:val="0067616B"/>
    <w:rsid w:val="006772D9"/>
    <w:rsid w:val="006976FE"/>
    <w:rsid w:val="006A1075"/>
    <w:rsid w:val="006A2D20"/>
    <w:rsid w:val="006B5057"/>
    <w:rsid w:val="006D1EEF"/>
    <w:rsid w:val="006E14C9"/>
    <w:rsid w:val="00717927"/>
    <w:rsid w:val="00722777"/>
    <w:rsid w:val="00732421"/>
    <w:rsid w:val="00753AFF"/>
    <w:rsid w:val="00761805"/>
    <w:rsid w:val="00772B09"/>
    <w:rsid w:val="00786DB7"/>
    <w:rsid w:val="00790DC7"/>
    <w:rsid w:val="00797FBB"/>
    <w:rsid w:val="007A4CE3"/>
    <w:rsid w:val="007A6DCA"/>
    <w:rsid w:val="00807FED"/>
    <w:rsid w:val="00813A5A"/>
    <w:rsid w:val="00851490"/>
    <w:rsid w:val="00852439"/>
    <w:rsid w:val="00857530"/>
    <w:rsid w:val="008655BC"/>
    <w:rsid w:val="00886753"/>
    <w:rsid w:val="008A175C"/>
    <w:rsid w:val="008A6468"/>
    <w:rsid w:val="00910388"/>
    <w:rsid w:val="009123C6"/>
    <w:rsid w:val="00912B70"/>
    <w:rsid w:val="00992254"/>
    <w:rsid w:val="009B4EF8"/>
    <w:rsid w:val="009C023F"/>
    <w:rsid w:val="009C32AE"/>
    <w:rsid w:val="009D025C"/>
    <w:rsid w:val="009F645E"/>
    <w:rsid w:val="00A25853"/>
    <w:rsid w:val="00A31899"/>
    <w:rsid w:val="00A44358"/>
    <w:rsid w:val="00A53F6C"/>
    <w:rsid w:val="00A65CD9"/>
    <w:rsid w:val="00A70DD3"/>
    <w:rsid w:val="00AB655E"/>
    <w:rsid w:val="00AD0CB2"/>
    <w:rsid w:val="00AE2DBC"/>
    <w:rsid w:val="00AE41DD"/>
    <w:rsid w:val="00AE619C"/>
    <w:rsid w:val="00AF2F1B"/>
    <w:rsid w:val="00B44B00"/>
    <w:rsid w:val="00B54E37"/>
    <w:rsid w:val="00B6373E"/>
    <w:rsid w:val="00B745C2"/>
    <w:rsid w:val="00B83E57"/>
    <w:rsid w:val="00B90A76"/>
    <w:rsid w:val="00BC4964"/>
    <w:rsid w:val="00BE3A1D"/>
    <w:rsid w:val="00BF3C6B"/>
    <w:rsid w:val="00C10154"/>
    <w:rsid w:val="00C24A60"/>
    <w:rsid w:val="00C25D5D"/>
    <w:rsid w:val="00C647C7"/>
    <w:rsid w:val="00C655F8"/>
    <w:rsid w:val="00C778CC"/>
    <w:rsid w:val="00C93E53"/>
    <w:rsid w:val="00CB5CEB"/>
    <w:rsid w:val="00CD56C1"/>
    <w:rsid w:val="00CD6AE6"/>
    <w:rsid w:val="00CF5871"/>
    <w:rsid w:val="00D0496A"/>
    <w:rsid w:val="00D05507"/>
    <w:rsid w:val="00D22DA8"/>
    <w:rsid w:val="00D643AF"/>
    <w:rsid w:val="00D708FF"/>
    <w:rsid w:val="00DB7748"/>
    <w:rsid w:val="00E1316E"/>
    <w:rsid w:val="00E177BF"/>
    <w:rsid w:val="00E35188"/>
    <w:rsid w:val="00E4754C"/>
    <w:rsid w:val="00E651E1"/>
    <w:rsid w:val="00E80106"/>
    <w:rsid w:val="00E92247"/>
    <w:rsid w:val="00E92811"/>
    <w:rsid w:val="00EB1083"/>
    <w:rsid w:val="00F1791E"/>
    <w:rsid w:val="00F2140C"/>
    <w:rsid w:val="00F97170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0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3847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b/>
      <w:bCs/>
      <w:color w:val="525A7D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2770F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99"/>
    <w:rsid w:val="002770FF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uiPriority w:val="99"/>
    <w:rsid w:val="002770FF"/>
    <w:pPr>
      <w:wordWrap/>
      <w:autoSpaceDE/>
      <w:autoSpaceDN/>
      <w:spacing w:line="250" w:lineRule="exact"/>
    </w:pPr>
    <w:rPr>
      <w:rFonts w:ascii="Times New Roman" w:eastAsia="MS Mincho" w:hAnsi="Times New Roman"/>
      <w:sz w:val="22"/>
      <w:szCs w:val="24"/>
      <w:lang w:eastAsia="ja-JP"/>
    </w:rPr>
  </w:style>
  <w:style w:type="paragraph" w:customStyle="1" w:styleId="Introduction1">
    <w:name w:val="Introduction1"/>
    <w:basedOn w:val="Normal"/>
    <w:uiPriority w:val="99"/>
    <w:rsid w:val="00886753"/>
    <w:pPr>
      <w:widowControl/>
      <w:wordWrap/>
      <w:autoSpaceDE/>
      <w:autoSpaceDN/>
      <w:snapToGrid w:val="0"/>
      <w:spacing w:line="472" w:lineRule="atLeast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Normal"/>
    <w:uiPriority w:val="99"/>
    <w:rsid w:val="0088675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6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53"/>
    <w:rPr>
      <w:rFonts w:ascii="맑은 고딕" w:eastAsia="맑은 고딕" w:hAnsi="맑은 고딕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A6468"/>
    <w:rPr>
      <w:b/>
      <w:bCs/>
      <w:szCs w:val="20"/>
    </w:rPr>
  </w:style>
  <w:style w:type="paragraph" w:styleId="ListParagraph">
    <w:name w:val="List Paragraph"/>
    <w:basedOn w:val="Normal"/>
    <w:uiPriority w:val="99"/>
    <w:qFormat/>
    <w:rsid w:val="008A6468"/>
    <w:pPr>
      <w:ind w:leftChars="400" w:left="800"/>
    </w:pPr>
  </w:style>
  <w:style w:type="paragraph" w:styleId="NormalWeb">
    <w:name w:val="Normal (Web)"/>
    <w:basedOn w:val="Normal"/>
    <w:uiPriority w:val="99"/>
    <w:rsid w:val="00F971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54352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35D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54352"/>
    <w:rPr>
      <w:rFonts w:cs="Times New Roman"/>
      <w:vertAlign w:val="superscript"/>
    </w:rPr>
  </w:style>
  <w:style w:type="paragraph" w:customStyle="1" w:styleId="hs1">
    <w:name w:val="hs1"/>
    <w:basedOn w:val="Normal"/>
    <w:uiPriority w:val="99"/>
    <w:rsid w:val="00054352"/>
    <w:pPr>
      <w:widowControl/>
      <w:wordWrap/>
      <w:autoSpaceDE/>
      <w:autoSpaceDN/>
      <w:spacing w:line="168" w:lineRule="atLeast"/>
      <w:ind w:left="188" w:hanging="188"/>
    </w:pPr>
    <w:rPr>
      <w:rFonts w:ascii="바탕" w:eastAsia="바탕" w:hAnsi="바탕" w:cs="굴림"/>
      <w:color w:val="000000"/>
      <w:kern w:val="0"/>
      <w:sz w:val="13"/>
      <w:szCs w:val="13"/>
    </w:rPr>
  </w:style>
  <w:style w:type="paragraph" w:styleId="Header">
    <w:name w:val="header"/>
    <w:basedOn w:val="Normal"/>
    <w:link w:val="HeaderChar"/>
    <w:uiPriority w:val="99"/>
    <w:rsid w:val="000A6F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F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DA8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462D58"/>
    <w:pPr>
      <w:numPr>
        <w:numId w:val="12"/>
      </w:numPr>
    </w:pPr>
  </w:style>
  <w:style w:type="paragraph" w:styleId="NoSpacing">
    <w:name w:val="No Spacing"/>
    <w:uiPriority w:val="1"/>
    <w:qFormat/>
    <w:rsid w:val="00571F90"/>
    <w:pPr>
      <w:widowControl w:val="0"/>
      <w:wordWrap w:val="0"/>
      <w:autoSpaceDE w:val="0"/>
      <w:autoSpaceDN w:val="0"/>
      <w:jc w:val="both"/>
    </w:pPr>
  </w:style>
  <w:style w:type="paragraph" w:styleId="EndnoteText">
    <w:name w:val="endnote text"/>
    <w:basedOn w:val="Normal"/>
    <w:link w:val="EndnoteTextChar"/>
    <w:uiPriority w:val="99"/>
    <w:semiHidden/>
    <w:rsid w:val="0002163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639"/>
  </w:style>
  <w:style w:type="character" w:styleId="EndnoteReference">
    <w:name w:val="endnote reference"/>
    <w:basedOn w:val="DefaultParagraphFont"/>
    <w:uiPriority w:val="99"/>
    <w:semiHidden/>
    <w:rsid w:val="00021639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23847"/>
    <w:rPr>
      <w:b/>
      <w:bCs/>
      <w:color w:val="525A7D"/>
      <w:kern w:val="0"/>
      <w:sz w:val="28"/>
      <w:szCs w:val="28"/>
    </w:rPr>
  </w:style>
  <w:style w:type="paragraph" w:customStyle="1" w:styleId="a0">
    <w:name w:val="각주"/>
    <w:basedOn w:val="Normal"/>
    <w:uiPriority w:val="99"/>
    <w:rsid w:val="00AE41DD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26D77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526D77"/>
  </w:style>
  <w:style w:type="paragraph" w:styleId="BodyText2">
    <w:name w:val="Body Text 2"/>
    <w:basedOn w:val="Normal"/>
    <w:link w:val="BodyText2Char"/>
    <w:uiPriority w:val="99"/>
    <w:rsid w:val="00526D77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6D77"/>
  </w:style>
  <w:style w:type="character" w:styleId="Hyperlink">
    <w:name w:val="Hyperlink"/>
    <w:basedOn w:val="DefaultParagraphFont"/>
    <w:uiPriority w:val="99"/>
    <w:semiHidden/>
    <w:unhideWhenUsed/>
    <w:rsid w:val="004A5559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30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3847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b/>
      <w:bCs/>
      <w:color w:val="525A7D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2770F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99"/>
    <w:rsid w:val="002770FF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uiPriority w:val="99"/>
    <w:rsid w:val="002770FF"/>
    <w:pPr>
      <w:wordWrap/>
      <w:autoSpaceDE/>
      <w:autoSpaceDN/>
      <w:spacing w:line="250" w:lineRule="exact"/>
    </w:pPr>
    <w:rPr>
      <w:rFonts w:ascii="Times New Roman" w:eastAsia="MS Mincho" w:hAnsi="Times New Roman"/>
      <w:sz w:val="22"/>
      <w:szCs w:val="24"/>
      <w:lang w:eastAsia="ja-JP"/>
    </w:rPr>
  </w:style>
  <w:style w:type="paragraph" w:customStyle="1" w:styleId="Introduction1">
    <w:name w:val="Introduction1"/>
    <w:basedOn w:val="Normal"/>
    <w:uiPriority w:val="99"/>
    <w:rsid w:val="00886753"/>
    <w:pPr>
      <w:widowControl/>
      <w:wordWrap/>
      <w:autoSpaceDE/>
      <w:autoSpaceDN/>
      <w:snapToGrid w:val="0"/>
      <w:spacing w:line="472" w:lineRule="atLeast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Normal"/>
    <w:uiPriority w:val="99"/>
    <w:rsid w:val="0088675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6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53"/>
    <w:rPr>
      <w:rFonts w:ascii="맑은 고딕" w:eastAsia="맑은 고딕" w:hAnsi="맑은 고딕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A6468"/>
    <w:rPr>
      <w:b/>
      <w:bCs/>
      <w:szCs w:val="20"/>
    </w:rPr>
  </w:style>
  <w:style w:type="paragraph" w:styleId="ListParagraph">
    <w:name w:val="List Paragraph"/>
    <w:basedOn w:val="Normal"/>
    <w:uiPriority w:val="99"/>
    <w:qFormat/>
    <w:rsid w:val="008A6468"/>
    <w:pPr>
      <w:ind w:leftChars="400" w:left="800"/>
    </w:pPr>
  </w:style>
  <w:style w:type="paragraph" w:styleId="NormalWeb">
    <w:name w:val="Normal (Web)"/>
    <w:basedOn w:val="Normal"/>
    <w:uiPriority w:val="99"/>
    <w:rsid w:val="00F971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54352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35D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54352"/>
    <w:rPr>
      <w:rFonts w:cs="Times New Roman"/>
      <w:vertAlign w:val="superscript"/>
    </w:rPr>
  </w:style>
  <w:style w:type="paragraph" w:customStyle="1" w:styleId="hs1">
    <w:name w:val="hs1"/>
    <w:basedOn w:val="Normal"/>
    <w:uiPriority w:val="99"/>
    <w:rsid w:val="00054352"/>
    <w:pPr>
      <w:widowControl/>
      <w:wordWrap/>
      <w:autoSpaceDE/>
      <w:autoSpaceDN/>
      <w:spacing w:line="168" w:lineRule="atLeast"/>
      <w:ind w:left="188" w:hanging="188"/>
    </w:pPr>
    <w:rPr>
      <w:rFonts w:ascii="바탕" w:eastAsia="바탕" w:hAnsi="바탕" w:cs="굴림"/>
      <w:color w:val="000000"/>
      <w:kern w:val="0"/>
      <w:sz w:val="13"/>
      <w:szCs w:val="13"/>
    </w:rPr>
  </w:style>
  <w:style w:type="paragraph" w:styleId="Header">
    <w:name w:val="header"/>
    <w:basedOn w:val="Normal"/>
    <w:link w:val="HeaderChar"/>
    <w:uiPriority w:val="99"/>
    <w:rsid w:val="000A6F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F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DA8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462D58"/>
    <w:pPr>
      <w:numPr>
        <w:numId w:val="12"/>
      </w:numPr>
    </w:pPr>
  </w:style>
  <w:style w:type="paragraph" w:styleId="NoSpacing">
    <w:name w:val="No Spacing"/>
    <w:uiPriority w:val="1"/>
    <w:qFormat/>
    <w:rsid w:val="00571F90"/>
    <w:pPr>
      <w:widowControl w:val="0"/>
      <w:wordWrap w:val="0"/>
      <w:autoSpaceDE w:val="0"/>
      <w:autoSpaceDN w:val="0"/>
      <w:jc w:val="both"/>
    </w:pPr>
  </w:style>
  <w:style w:type="paragraph" w:styleId="EndnoteText">
    <w:name w:val="endnote text"/>
    <w:basedOn w:val="Normal"/>
    <w:link w:val="EndnoteTextChar"/>
    <w:uiPriority w:val="99"/>
    <w:semiHidden/>
    <w:rsid w:val="0002163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1639"/>
  </w:style>
  <w:style w:type="character" w:styleId="EndnoteReference">
    <w:name w:val="endnote reference"/>
    <w:basedOn w:val="DefaultParagraphFont"/>
    <w:uiPriority w:val="99"/>
    <w:semiHidden/>
    <w:rsid w:val="00021639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23847"/>
    <w:rPr>
      <w:b/>
      <w:bCs/>
      <w:color w:val="525A7D"/>
      <w:kern w:val="0"/>
      <w:sz w:val="28"/>
      <w:szCs w:val="28"/>
    </w:rPr>
  </w:style>
  <w:style w:type="paragraph" w:customStyle="1" w:styleId="a0">
    <w:name w:val="각주"/>
    <w:basedOn w:val="Normal"/>
    <w:uiPriority w:val="99"/>
    <w:rsid w:val="00AE41DD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26D77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526D77"/>
  </w:style>
  <w:style w:type="paragraph" w:styleId="BodyText2">
    <w:name w:val="Body Text 2"/>
    <w:basedOn w:val="Normal"/>
    <w:link w:val="BodyText2Char"/>
    <w:uiPriority w:val="99"/>
    <w:rsid w:val="00526D77"/>
    <w:pPr>
      <w:spacing w:after="18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6D77"/>
  </w:style>
  <w:style w:type="character" w:styleId="Hyperlink">
    <w:name w:val="Hyperlink"/>
    <w:basedOn w:val="DefaultParagraphFont"/>
    <w:uiPriority w:val="99"/>
    <w:semiHidden/>
    <w:unhideWhenUsed/>
    <w:rsid w:val="004A5559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3776">
          <w:marLeft w:val="100"/>
          <w:marRight w:val="25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0C0-517A-471D-99CD-007686C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UNDERSTANDING OF THE REGULATIONS OF</vt:lpstr>
      <vt:lpstr>UNDERSTANDING OF THE REGULATIONS OF</vt:lpstr>
    </vt:vector>
  </TitlesOfParts>
  <Company>XP SP3 FINAL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OF THE REGULATIONS OF</dc:title>
  <dc:creator>snoopy</dc:creator>
  <cp:lastModifiedBy>Windows</cp:lastModifiedBy>
  <cp:revision>2</cp:revision>
  <cp:lastPrinted>2011-04-17T13:59:00Z</cp:lastPrinted>
  <dcterms:created xsi:type="dcterms:W3CDTF">2011-04-20T10:15:00Z</dcterms:created>
  <dcterms:modified xsi:type="dcterms:W3CDTF">2011-04-20T10:15:00Z</dcterms:modified>
</cp:coreProperties>
</file>